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EEB51" w14:textId="6AE286EF" w:rsidR="003E6463" w:rsidRDefault="003E6463" w:rsidP="003E6463">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w:t>
      </w:r>
      <w:r w:rsidR="00C510E9">
        <w:rPr>
          <w:b/>
          <w:noProof/>
          <w:sz w:val="24"/>
        </w:rPr>
        <w:t>2</w:t>
      </w:r>
      <w:r>
        <w:rPr>
          <w:b/>
          <w:noProof/>
          <w:sz w:val="24"/>
        </w:rPr>
        <w:t>-e</w:t>
      </w:r>
      <w:r>
        <w:rPr>
          <w:b/>
          <w:i/>
          <w:noProof/>
          <w:sz w:val="28"/>
        </w:rPr>
        <w:tab/>
      </w:r>
      <w:r w:rsidR="008258A9" w:rsidRPr="008258A9">
        <w:rPr>
          <w:b/>
          <w:i/>
          <w:noProof/>
          <w:sz w:val="28"/>
        </w:rPr>
        <w:t>R4-2204481</w:t>
      </w:r>
    </w:p>
    <w:bookmarkEnd w:id="0"/>
    <w:p w14:paraId="79A6378C" w14:textId="77777777" w:rsidR="003E6463" w:rsidRDefault="003E6463" w:rsidP="003E6463">
      <w:pPr>
        <w:pStyle w:val="CRCoverPage"/>
        <w:outlineLvl w:val="0"/>
        <w:rPr>
          <w:b/>
          <w:noProof/>
          <w:sz w:val="24"/>
        </w:rPr>
      </w:pPr>
      <w:r w:rsidRPr="00C71A48">
        <w:rPr>
          <w:b/>
          <w:bCs/>
          <w:noProof/>
          <w:sz w:val="24"/>
        </w:rPr>
        <w:t xml:space="preserve">Electronic Meeting, </w:t>
      </w:r>
      <w:r>
        <w:rPr>
          <w:b/>
          <w:bCs/>
          <w:noProof/>
          <w:sz w:val="24"/>
        </w:rPr>
        <w:t>21</w:t>
      </w:r>
      <w:r w:rsidRPr="00EF08F5">
        <w:rPr>
          <w:b/>
          <w:bCs/>
          <w:noProof/>
          <w:sz w:val="24"/>
          <w:vertAlign w:val="superscript"/>
        </w:rPr>
        <w:t>th</w:t>
      </w:r>
      <w:r>
        <w:rPr>
          <w:b/>
          <w:bCs/>
          <w:noProof/>
          <w:sz w:val="24"/>
        </w:rPr>
        <w:t xml:space="preserve"> Feb </w:t>
      </w:r>
      <w:r w:rsidRPr="004253E1">
        <w:rPr>
          <w:b/>
          <w:noProof/>
          <w:sz w:val="24"/>
        </w:rPr>
        <w:t xml:space="preserve">to </w:t>
      </w:r>
      <w:r>
        <w:rPr>
          <w:b/>
          <w:noProof/>
          <w:sz w:val="24"/>
        </w:rPr>
        <w:t>3</w:t>
      </w:r>
      <w:r w:rsidRPr="003B1150">
        <w:rPr>
          <w:b/>
          <w:noProof/>
          <w:sz w:val="24"/>
          <w:vertAlign w:val="superscript"/>
        </w:rPr>
        <w:t>rd</w:t>
      </w:r>
      <w:r>
        <w:rPr>
          <w:b/>
          <w:noProof/>
          <w:sz w:val="24"/>
        </w:rPr>
        <w:t xml:space="preserve"> Mar, 2022</w:t>
      </w:r>
    </w:p>
    <w:p w14:paraId="6B5C5D26" w14:textId="77777777" w:rsidR="005508CF" w:rsidRPr="003E6463" w:rsidRDefault="005508CF" w:rsidP="005508CF">
      <w:pPr>
        <w:pStyle w:val="aff2"/>
        <w:rPr>
          <w:rFonts w:eastAsia="SimSun" w:cs="Arial"/>
          <w:b w:val="0"/>
          <w:lang w:eastAsia="zh-CN"/>
        </w:rPr>
      </w:pPr>
    </w:p>
    <w:p w14:paraId="516E7A55" w14:textId="4B1A4138"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8258A9">
        <w:rPr>
          <w:rFonts w:ascii="Arial" w:hAnsi="Arial" w:cs="Arial"/>
          <w:sz w:val="22"/>
        </w:rPr>
        <w:t>11.4.2</w:t>
      </w:r>
    </w:p>
    <w:p w14:paraId="1657EEB7" w14:textId="77777777"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14:paraId="466DA22B" w14:textId="4C1D47CF"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1440B">
        <w:rPr>
          <w:rFonts w:ascii="Arial" w:eastAsia="SimSun" w:hAnsi="Arial" w:cs="Arial"/>
          <w:sz w:val="22"/>
          <w:lang w:eastAsia="zh-CN"/>
        </w:rPr>
        <w:t>D</w:t>
      </w:r>
      <w:r w:rsidR="003A190C" w:rsidRPr="003A190C">
        <w:rPr>
          <w:rFonts w:ascii="Arial" w:eastAsia="SimSun" w:hAnsi="Arial" w:cs="Arial"/>
          <w:sz w:val="22"/>
          <w:lang w:eastAsia="zh-CN"/>
        </w:rPr>
        <w:t xml:space="preserve">iscussion on </w:t>
      </w:r>
      <w:r w:rsidR="00635D80">
        <w:rPr>
          <w:rFonts w:ascii="Arial" w:eastAsia="SimSun" w:hAnsi="Arial" w:cs="Arial"/>
          <w:sz w:val="22"/>
          <w:lang w:eastAsia="zh-CN"/>
        </w:rPr>
        <w:t>Pi/2 BPSK power boosting</w:t>
      </w:r>
    </w:p>
    <w:p w14:paraId="76F33498" w14:textId="38D6250A"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635D80">
        <w:rPr>
          <w:rFonts w:ascii="Arial" w:eastAsia="SimSun" w:hAnsi="Arial" w:cs="Arial"/>
          <w:sz w:val="22"/>
          <w:lang w:eastAsia="zh-CN"/>
        </w:rPr>
        <w:t>Approval</w:t>
      </w:r>
    </w:p>
    <w:bookmarkEnd w:id="1"/>
    <w:bookmarkEnd w:id="2"/>
    <w:p w14:paraId="6B35976A"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386B8442" w14:textId="60E749F0" w:rsidR="001A155E" w:rsidRDefault="001A155E" w:rsidP="001A155E">
      <w:pPr>
        <w:rPr>
          <w:color w:val="000000" w:themeColor="text1"/>
          <w:lang w:eastAsia="zh-CN"/>
        </w:rPr>
      </w:pPr>
      <w:r>
        <w:rPr>
          <w:color w:val="000000" w:themeColor="text1"/>
          <w:lang w:eastAsia="zh-CN"/>
        </w:rPr>
        <w:t>The following topics have been discussed in RAN4#101bis-e WF [1]</w:t>
      </w:r>
      <w:r w:rsidR="006F5AD7">
        <w:rPr>
          <w:color w:val="000000" w:themeColor="text1"/>
          <w:lang w:eastAsia="zh-CN"/>
        </w:rPr>
        <w:t xml:space="preserve"> that companies views are diverged</w:t>
      </w:r>
      <w:r>
        <w:rPr>
          <w:color w:val="000000" w:themeColor="text1"/>
          <w:lang w:eastAsia="zh-CN"/>
        </w:rPr>
        <w:t>:</w:t>
      </w:r>
    </w:p>
    <w:p w14:paraId="0FBD9F9C" w14:textId="77777777" w:rsidR="001A155E" w:rsidRDefault="001A155E" w:rsidP="001A155E">
      <w:pPr>
        <w:pStyle w:val="affe"/>
        <w:numPr>
          <w:ilvl w:val="0"/>
          <w:numId w:val="44"/>
        </w:numPr>
        <w:overflowPunct/>
        <w:autoSpaceDE/>
        <w:autoSpaceDN/>
        <w:adjustRightInd/>
        <w:textAlignment w:val="auto"/>
        <w:rPr>
          <w:color w:val="000000" w:themeColor="text1"/>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Pr>
          <w:rFonts w:eastAsia="Malgun Gothic" w:cstheme="minorHAnsi"/>
          <w:bCs/>
        </w:rPr>
        <w:t>UE TX issues</w:t>
      </w:r>
    </w:p>
    <w:p w14:paraId="3D747985" w14:textId="3AE55D50" w:rsidR="006F5AD7" w:rsidRPr="006F5AD7" w:rsidRDefault="006F5AD7" w:rsidP="006F5AD7">
      <w:pPr>
        <w:pStyle w:val="affe"/>
        <w:numPr>
          <w:ilvl w:val="0"/>
          <w:numId w:val="44"/>
        </w:numPr>
        <w:overflowPunct/>
        <w:autoSpaceDE/>
        <w:autoSpaceDN/>
        <w:adjustRightInd/>
        <w:textAlignment w:val="auto"/>
        <w:rPr>
          <w:color w:val="000000" w:themeColor="text1"/>
          <w:lang w:eastAsia="zh-CN"/>
        </w:rPr>
      </w:pPr>
      <w:r>
        <w:t>Issue 1-2-2 Reclassification of RB regions for MPR specifications and/or update of existing MPR tables used for pi/2 BPSK signals</w:t>
      </w:r>
    </w:p>
    <w:p w14:paraId="01FEA271" w14:textId="4618C5E1" w:rsidR="00E62C7E" w:rsidRPr="003C5250" w:rsidRDefault="00B744C4" w:rsidP="001A155E">
      <w:pPr>
        <w:suppressAutoHyphens/>
        <w:spacing w:after="120" w:line="300" w:lineRule="atLeast"/>
        <w:jc w:val="both"/>
        <w:rPr>
          <w:lang w:eastAsia="zh-TW"/>
        </w:rPr>
      </w:pPr>
      <w:r>
        <w:t>The contribution</w:t>
      </w:r>
      <w:r w:rsidR="006F5AD7">
        <w:t xml:space="preserve"> continue discussion</w:t>
      </w:r>
      <w:r w:rsidR="00286423">
        <w:t xml:space="preserve"> them in </w:t>
      </w:r>
      <w:r w:rsidR="006F5AD7">
        <w:t>this meeting.</w:t>
      </w:r>
    </w:p>
    <w:p w14:paraId="20AA6FF1" w14:textId="77777777"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14:paraId="45952E72" w14:textId="77777777"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0723973F" w14:textId="77777777"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60BFE722" w14:textId="292277FA" w:rsidR="004D4887" w:rsidRPr="004D4887" w:rsidRDefault="004D4887" w:rsidP="00635D80">
      <w:pPr>
        <w:rPr>
          <w:rFonts w:ascii="Arial" w:eastAsia="新細明體" w:hAnsi="Arial" w:cs="Arial"/>
          <w:sz w:val="36"/>
          <w:szCs w:val="36"/>
          <w:lang w:val="en-US" w:eastAsia="zh-TW"/>
        </w:rPr>
      </w:pPr>
      <w:r w:rsidRPr="004D4887">
        <w:rPr>
          <w:rFonts w:ascii="Arial" w:eastAsia="新細明體" w:hAnsi="Arial" w:cs="Arial"/>
          <w:sz w:val="36"/>
          <w:szCs w:val="36"/>
          <w:lang w:val="en-US" w:eastAsia="zh-TW"/>
        </w:rPr>
        <w:t>2.1</w:t>
      </w:r>
      <w:r w:rsidRPr="004D4887">
        <w:t xml:space="preserve"> </w:t>
      </w:r>
      <w:r w:rsidRPr="004D4887">
        <w:rPr>
          <w:rFonts w:ascii="Arial" w:eastAsia="新細明體" w:hAnsi="Arial" w:cs="Arial"/>
          <w:sz w:val="36"/>
          <w:szCs w:val="36"/>
          <w:lang w:val="en-US" w:eastAsia="zh-TW"/>
        </w:rPr>
        <w:t>UE TX issues</w:t>
      </w:r>
    </w:p>
    <w:p w14:paraId="51977315" w14:textId="10C8080A" w:rsidR="00221BE8" w:rsidRDefault="001A155E" w:rsidP="00635D80">
      <w:pPr>
        <w:rPr>
          <w:lang w:val="en-US" w:eastAsia="zh-CN"/>
        </w:rPr>
      </w:pPr>
      <w:r w:rsidRPr="001A155E">
        <w:rPr>
          <w:lang w:val="en-US" w:eastAsia="zh-CN"/>
        </w:rPr>
        <w:t>PC2 Power Boosting above MPR0</w:t>
      </w:r>
      <w:r>
        <w:rPr>
          <w:lang w:val="en-US" w:eastAsia="zh-CN"/>
        </w:rPr>
        <w:t xml:space="preserve"> </w:t>
      </w:r>
      <w:r w:rsidR="00B744C4">
        <w:rPr>
          <w:lang w:val="en-US" w:eastAsia="zh-CN"/>
        </w:rPr>
        <w:t>did not reach consensus</w:t>
      </w:r>
      <w:r>
        <w:rPr>
          <w:lang w:val="en-US" w:eastAsia="zh-CN"/>
        </w:rPr>
        <w:t xml:space="preserve"> in previous </w:t>
      </w:r>
      <w:r w:rsidR="005D67D2">
        <w:rPr>
          <w:lang w:val="en-US" w:eastAsia="zh-CN"/>
        </w:rPr>
        <w:t xml:space="preserve">RAN4 meeting. In the </w:t>
      </w:r>
      <w:r w:rsidR="00B744C4">
        <w:rPr>
          <w:lang w:val="en-US" w:eastAsia="zh-CN"/>
        </w:rPr>
        <w:t>WF [</w:t>
      </w:r>
      <w:r w:rsidR="005D67D2">
        <w:rPr>
          <w:lang w:val="en-US" w:eastAsia="zh-CN"/>
        </w:rPr>
        <w:t>1] there are three options copied below:</w:t>
      </w:r>
    </w:p>
    <w:p w14:paraId="58036BC2" w14:textId="77777777" w:rsidR="005D67D2" w:rsidRDefault="005D67D2" w:rsidP="005D67D2">
      <w:pPr>
        <w:pStyle w:val="affe"/>
        <w:numPr>
          <w:ilvl w:val="0"/>
          <w:numId w:val="45"/>
        </w:numPr>
        <w:overflowPunct/>
        <w:autoSpaceDE/>
        <w:autoSpaceDN/>
        <w:adjustRightInd/>
        <w:textAlignment w:val="auto"/>
      </w:pPr>
      <w:r>
        <w:t xml:space="preserve">Option 1: </w:t>
      </w:r>
      <w:r w:rsidRPr="00393A8F">
        <w:rPr>
          <w:rFonts w:eastAsia="SimSun"/>
          <w:lang w:eastAsia="zh-CN"/>
        </w:rPr>
        <w:t>For 1Tx PC2 PAs, the power boost should be limited to within 1dB.</w:t>
      </w:r>
      <w:r>
        <w:rPr>
          <w:rFonts w:eastAsia="SimSun"/>
          <w:lang w:eastAsia="zh-CN"/>
        </w:rPr>
        <w:t xml:space="preserve"> (R4-2200954, R4-2201837)</w:t>
      </w:r>
    </w:p>
    <w:p w14:paraId="1649C94C" w14:textId="77777777" w:rsidR="005D67D2" w:rsidRDefault="005D67D2" w:rsidP="005D67D2">
      <w:pPr>
        <w:pStyle w:val="affe"/>
        <w:numPr>
          <w:ilvl w:val="0"/>
          <w:numId w:val="45"/>
        </w:numPr>
        <w:overflowPunct/>
        <w:autoSpaceDE/>
        <w:autoSpaceDN/>
        <w:adjustRightInd/>
        <w:textAlignment w:val="auto"/>
      </w:pPr>
      <w:r>
        <w:t>Option 2: Due to practical considerations restrict power boost to maximum of 2dB above PC2 0dB MPR. Also, restrict the maximum number of uplink transmission slot to 25% (R4-2202029)</w:t>
      </w:r>
    </w:p>
    <w:p w14:paraId="27BC1797" w14:textId="77777777" w:rsidR="005D67D2" w:rsidRDefault="005D67D2" w:rsidP="005D67D2">
      <w:pPr>
        <w:pStyle w:val="affe"/>
        <w:numPr>
          <w:ilvl w:val="0"/>
          <w:numId w:val="45"/>
        </w:numPr>
        <w:overflowPunct/>
        <w:autoSpaceDE/>
        <w:autoSpaceDN/>
        <w:adjustRightInd/>
        <w:textAlignment w:val="auto"/>
      </w:pPr>
      <w:r>
        <w:t xml:space="preserve">Option 3: </w:t>
      </w:r>
      <w:r w:rsidRPr="0062528A">
        <w:t>Due to practical considerations</w:t>
      </w:r>
      <w:r>
        <w:t>:</w:t>
      </w:r>
    </w:p>
    <w:p w14:paraId="75E1D16C" w14:textId="77777777" w:rsidR="005D67D2" w:rsidRDefault="005D67D2" w:rsidP="005D67D2">
      <w:pPr>
        <w:pStyle w:val="affe"/>
        <w:numPr>
          <w:ilvl w:val="1"/>
          <w:numId w:val="45"/>
        </w:numPr>
        <w:overflowPunct/>
        <w:autoSpaceDE/>
        <w:autoSpaceDN/>
        <w:adjustRightInd/>
        <w:textAlignment w:val="auto"/>
      </w:pPr>
      <w:r>
        <w:t xml:space="preserve">FFS maximum </w:t>
      </w:r>
      <w:r w:rsidRPr="0062528A">
        <w:t>power boost</w:t>
      </w:r>
      <w:r>
        <w:t xml:space="preserve"> restricted over the range [1 to 2] dB, i.e. 1</w:t>
      </w:r>
      <w:r>
        <w:sym w:font="Symbol" w:char="F0A3"/>
      </w:r>
      <w:r>
        <w:t>MPR</w:t>
      </w:r>
      <w:r>
        <w:sym w:font="Symbol" w:char="F0A3"/>
      </w:r>
      <w:r>
        <w:t>2dB w.r.t 29dBm;</w:t>
      </w:r>
    </w:p>
    <w:p w14:paraId="732C06B4" w14:textId="77777777" w:rsidR="005D67D2" w:rsidRDefault="005D67D2" w:rsidP="005D67D2">
      <w:pPr>
        <w:pStyle w:val="affe"/>
        <w:numPr>
          <w:ilvl w:val="1"/>
          <w:numId w:val="45"/>
        </w:numPr>
        <w:overflowPunct/>
        <w:autoSpaceDE/>
        <w:autoSpaceDN/>
        <w:adjustRightInd/>
        <w:textAlignment w:val="auto"/>
      </w:pPr>
      <w:r>
        <w:t>FFS restrictions on the percentage of the maximum number of uplink transmission slots in a radio frame.</w:t>
      </w:r>
    </w:p>
    <w:p w14:paraId="5B350192" w14:textId="43366627" w:rsidR="005D67D2" w:rsidRDefault="006F5AD7" w:rsidP="00635D80">
      <w:pPr>
        <w:rPr>
          <w:rFonts w:eastAsia="新細明體"/>
          <w:lang w:eastAsia="zh-TW"/>
        </w:rPr>
      </w:pPr>
      <w:r>
        <w:rPr>
          <w:rFonts w:eastAsia="新細明體"/>
          <w:lang w:eastAsia="zh-TW"/>
        </w:rPr>
        <w:t xml:space="preserve">In real product implementation, power amplifier would be required </w:t>
      </w:r>
      <w:r w:rsidR="00B744C4">
        <w:rPr>
          <w:rFonts w:eastAsia="新細明體"/>
          <w:lang w:eastAsia="zh-TW"/>
        </w:rPr>
        <w:t xml:space="preserve">to </w:t>
      </w:r>
      <w:r>
        <w:rPr>
          <w:rFonts w:eastAsia="新細明體"/>
          <w:lang w:eastAsia="zh-TW"/>
        </w:rPr>
        <w:t>operate under roughness test condition that assumes there’s loading mismatch between it</w:t>
      </w:r>
      <w:r w:rsidR="0091358A">
        <w:rPr>
          <w:rFonts w:eastAsia="新細明體"/>
          <w:lang w:eastAsia="zh-TW"/>
        </w:rPr>
        <w:t>s</w:t>
      </w:r>
      <w:r>
        <w:rPr>
          <w:rFonts w:eastAsia="新細明體"/>
          <w:lang w:eastAsia="zh-TW"/>
        </w:rPr>
        <w:t xml:space="preserve"> output port and antenna input port.</w:t>
      </w:r>
      <w:r w:rsidR="004D4887">
        <w:rPr>
          <w:rFonts w:eastAsia="新細明體"/>
          <w:lang w:eastAsia="zh-TW"/>
        </w:rPr>
        <w:t xml:space="preserve"> In general </w:t>
      </w:r>
      <w:r w:rsidR="00B744C4">
        <w:rPr>
          <w:rFonts w:eastAsia="新細明體"/>
          <w:lang w:eastAsia="zh-TW"/>
        </w:rPr>
        <w:t xml:space="preserve">the </w:t>
      </w:r>
      <w:r w:rsidR="004D4887">
        <w:rPr>
          <w:rFonts w:eastAsia="新細明體"/>
          <w:lang w:eastAsia="zh-TW"/>
        </w:rPr>
        <w:t xml:space="preserve">PA would be measured under VSWR=10:1 to see if it is not burned out. Figure 1 shows </w:t>
      </w:r>
      <w:r w:rsidR="0091358A">
        <w:rPr>
          <w:rFonts w:eastAsia="新細明體"/>
          <w:lang w:eastAsia="zh-TW"/>
        </w:rPr>
        <w:t>an n41 commercial PA</w:t>
      </w:r>
      <w:r w:rsidR="004D4887">
        <w:rPr>
          <w:rFonts w:eastAsia="新細明體"/>
          <w:lang w:eastAsia="zh-TW"/>
        </w:rPr>
        <w:t xml:space="preserve"> measure</w:t>
      </w:r>
      <w:r w:rsidR="0091358A">
        <w:rPr>
          <w:rFonts w:eastAsia="新細明體"/>
          <w:lang w:eastAsia="zh-TW"/>
        </w:rPr>
        <w:t>ment</w:t>
      </w:r>
      <w:r w:rsidR="004D4887">
        <w:rPr>
          <w:rFonts w:eastAsia="新細明體"/>
          <w:lang w:eastAsia="zh-TW"/>
        </w:rPr>
        <w:t xml:space="preserve"> result under same VSWR via different phase (0-360 degree).</w:t>
      </w:r>
    </w:p>
    <w:p w14:paraId="68FF9049" w14:textId="32BE646A" w:rsidR="004D4887" w:rsidRDefault="004D4887" w:rsidP="004D4887">
      <w:pPr>
        <w:jc w:val="center"/>
        <w:rPr>
          <w:rFonts w:eastAsia="新細明體"/>
          <w:lang w:eastAsia="zh-TW"/>
        </w:rPr>
      </w:pPr>
      <w:r>
        <w:rPr>
          <w:rFonts w:eastAsia="新細明體"/>
          <w:noProof/>
          <w:lang w:eastAsia="zh-TW"/>
        </w:rPr>
        <w:drawing>
          <wp:inline distT="0" distB="0" distL="0" distR="0" wp14:anchorId="4610DD0B" wp14:editId="3B704A28">
            <wp:extent cx="4561429" cy="298027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5448" cy="2982896"/>
                    </a:xfrm>
                    <a:prstGeom prst="rect">
                      <a:avLst/>
                    </a:prstGeom>
                    <a:noFill/>
                    <a:ln>
                      <a:noFill/>
                    </a:ln>
                  </pic:spPr>
                </pic:pic>
              </a:graphicData>
            </a:graphic>
          </wp:inline>
        </w:drawing>
      </w:r>
    </w:p>
    <w:p w14:paraId="0AEC337E" w14:textId="305FF630" w:rsidR="004D4887" w:rsidRPr="004D4887" w:rsidRDefault="004D4887" w:rsidP="004D4887">
      <w:pPr>
        <w:jc w:val="center"/>
        <w:rPr>
          <w:rFonts w:ascii="Arial" w:eastAsia="新細明體" w:hAnsi="Arial" w:cs="Arial"/>
          <w:b/>
          <w:bCs/>
          <w:lang w:eastAsia="zh-TW"/>
        </w:rPr>
      </w:pPr>
      <w:r>
        <w:rPr>
          <w:rFonts w:ascii="Arial" w:eastAsia="新細明體" w:hAnsi="Arial" w:cs="Arial" w:hint="cs"/>
          <w:b/>
          <w:bCs/>
          <w:lang w:eastAsia="zh-TW"/>
        </w:rPr>
        <w:t>F</w:t>
      </w:r>
      <w:r>
        <w:rPr>
          <w:rFonts w:ascii="Arial" w:eastAsia="新細明體" w:hAnsi="Arial" w:cs="Arial" w:hint="eastAsia"/>
          <w:b/>
          <w:bCs/>
          <w:lang w:eastAsia="zh-TW"/>
        </w:rPr>
        <w:t>i</w:t>
      </w:r>
      <w:r>
        <w:rPr>
          <w:rFonts w:ascii="Arial" w:eastAsia="新細明體" w:hAnsi="Arial" w:cs="Arial"/>
          <w:b/>
          <w:bCs/>
          <w:lang w:eastAsia="zh-TW"/>
        </w:rPr>
        <w:t>gure 1. PA operation current under roughness test condition</w:t>
      </w:r>
    </w:p>
    <w:p w14:paraId="307571A7" w14:textId="476CBCCA" w:rsidR="004D4887" w:rsidRDefault="00BA4760" w:rsidP="00635D80">
      <w:pPr>
        <w:rPr>
          <w:rFonts w:eastAsia="新細明體"/>
          <w:lang w:eastAsia="zh-TW"/>
        </w:rPr>
      </w:pPr>
      <w:r>
        <w:rPr>
          <w:rFonts w:eastAsia="新細明體"/>
          <w:lang w:eastAsia="zh-TW"/>
        </w:rPr>
        <w:lastRenderedPageBreak/>
        <w:t>W</w:t>
      </w:r>
      <w:r w:rsidR="004D4887">
        <w:rPr>
          <w:rFonts w:eastAsia="新細明體"/>
          <w:lang w:eastAsia="zh-TW"/>
        </w:rPr>
        <w:t xml:space="preserve">e can see there’s </w:t>
      </w:r>
      <w:r w:rsidR="00D05D00">
        <w:rPr>
          <w:rFonts w:eastAsia="新細明體"/>
          <w:lang w:eastAsia="zh-TW"/>
        </w:rPr>
        <w:t>about +- 30% current variation w</w:t>
      </w:r>
      <w:r w:rsidR="009F7F3F">
        <w:rPr>
          <w:rFonts w:eastAsia="新細明體"/>
          <w:lang w:eastAsia="zh-TW"/>
        </w:rPr>
        <w:t>ith</w:t>
      </w:r>
      <w:r w:rsidR="00D05D00">
        <w:rPr>
          <w:rFonts w:eastAsia="新細明體"/>
          <w:lang w:eastAsia="zh-TW"/>
        </w:rPr>
        <w:t xml:space="preserve"> various loading phase.</w:t>
      </w:r>
      <w:r w:rsidR="009F7F3F">
        <w:rPr>
          <w:rFonts w:eastAsia="新細明體"/>
          <w:lang w:eastAsia="zh-TW"/>
        </w:rPr>
        <w:t xml:space="preserve"> In [2] measurement result shows 12/27/61% current raised</w:t>
      </w:r>
      <w:r w:rsidR="00B744C4">
        <w:rPr>
          <w:rFonts w:eastAsia="新細明體"/>
          <w:lang w:eastAsia="zh-TW"/>
        </w:rPr>
        <w:t xml:space="preserve"> up</w:t>
      </w:r>
      <w:r w:rsidR="009F7F3F">
        <w:rPr>
          <w:rFonts w:eastAsia="新細明體"/>
          <w:lang w:eastAsia="zh-TW"/>
        </w:rPr>
        <w:t xml:space="preserve"> for 1/2/3dB power boosting. </w:t>
      </w:r>
      <w:r w:rsidR="00361421">
        <w:rPr>
          <w:rFonts w:eastAsia="新細明體"/>
          <w:lang w:eastAsia="zh-TW"/>
        </w:rPr>
        <w:t>So</w:t>
      </w:r>
      <w:r w:rsidR="009F7F3F">
        <w:rPr>
          <w:rFonts w:eastAsia="新細明體"/>
          <w:lang w:eastAsia="zh-TW"/>
        </w:rPr>
        <w:t xml:space="preserve"> there may possible be 46/65/109% higher current </w:t>
      </w:r>
      <w:r w:rsidR="00361421">
        <w:rPr>
          <w:rFonts w:eastAsia="新細明體"/>
          <w:lang w:eastAsia="zh-TW"/>
        </w:rPr>
        <w:t>under power boosting + roughness test.</w:t>
      </w:r>
      <w:r w:rsidR="009F7F3F">
        <w:rPr>
          <w:rFonts w:eastAsia="新細明體"/>
          <w:lang w:eastAsia="zh-TW"/>
        </w:rPr>
        <w:t xml:space="preserve"> </w:t>
      </w:r>
      <w:r w:rsidR="00361421">
        <w:rPr>
          <w:rFonts w:eastAsia="新細明體"/>
          <w:lang w:eastAsia="zh-TW"/>
        </w:rPr>
        <w:t>This</w:t>
      </w:r>
      <w:r w:rsidR="009F7F3F">
        <w:rPr>
          <w:rFonts w:eastAsia="新細明體"/>
          <w:lang w:eastAsia="zh-TW"/>
        </w:rPr>
        <w:t xml:space="preserve"> would be very challenge for the PA reliability and PMU even under just 1dB</w:t>
      </w:r>
      <w:r w:rsidR="00223154">
        <w:rPr>
          <w:rFonts w:eastAsia="新細明體"/>
          <w:lang w:eastAsia="zh-TW"/>
        </w:rPr>
        <w:t xml:space="preserve"> boosting. </w:t>
      </w:r>
      <w:r w:rsidR="00115A76">
        <w:rPr>
          <w:rFonts w:eastAsia="新細明體"/>
          <w:lang w:eastAsia="zh-TW"/>
        </w:rPr>
        <w:t>That’s why</w:t>
      </w:r>
      <w:r w:rsidR="00223154">
        <w:rPr>
          <w:rFonts w:eastAsia="新細明體"/>
          <w:lang w:eastAsia="zh-TW"/>
        </w:rPr>
        <w:t xml:space="preserve"> it is very difficult to boost more than 1dB for practical product implementation.</w:t>
      </w:r>
    </w:p>
    <w:p w14:paraId="529E9D4B" w14:textId="3A5532C9" w:rsidR="00223154" w:rsidRPr="00223154" w:rsidRDefault="00223154" w:rsidP="00635D80">
      <w:pPr>
        <w:rPr>
          <w:rFonts w:eastAsia="新細明體"/>
          <w:b/>
          <w:bCs/>
          <w:i/>
          <w:iCs/>
          <w:lang w:eastAsia="zh-TW"/>
        </w:rPr>
      </w:pPr>
      <w:r>
        <w:rPr>
          <w:rFonts w:eastAsia="新細明體" w:hint="eastAsia"/>
          <w:b/>
          <w:bCs/>
          <w:i/>
          <w:iCs/>
          <w:lang w:eastAsia="zh-TW"/>
        </w:rPr>
        <w:t>P</w:t>
      </w:r>
      <w:r>
        <w:rPr>
          <w:rFonts w:eastAsia="新細明體"/>
          <w:b/>
          <w:bCs/>
          <w:i/>
          <w:iCs/>
          <w:lang w:eastAsia="zh-TW"/>
        </w:rPr>
        <w:t xml:space="preserve">roposal 1: Option 1 is proposed. </w:t>
      </w:r>
      <w:r w:rsidRPr="00223154">
        <w:rPr>
          <w:rFonts w:eastAsia="新細明體"/>
          <w:b/>
          <w:bCs/>
          <w:i/>
          <w:iCs/>
          <w:lang w:eastAsia="zh-TW"/>
        </w:rPr>
        <w:t>For 1Tx PC2 PAs, the power boost should be limited to within 1dB</w:t>
      </w:r>
    </w:p>
    <w:p w14:paraId="22F6F1BE" w14:textId="76A4C902" w:rsidR="004D4887" w:rsidRDefault="004D4887" w:rsidP="00635D80">
      <w:pPr>
        <w:rPr>
          <w:rFonts w:eastAsia="新細明體"/>
          <w:lang w:eastAsia="zh-TW"/>
        </w:rPr>
      </w:pPr>
    </w:p>
    <w:p w14:paraId="15C368D0" w14:textId="79B31374" w:rsidR="00115A76" w:rsidRPr="004D4887" w:rsidRDefault="00115A76" w:rsidP="00115A76">
      <w:pPr>
        <w:rPr>
          <w:rFonts w:ascii="Arial" w:eastAsia="新細明體" w:hAnsi="Arial" w:cs="Arial"/>
          <w:sz w:val="36"/>
          <w:szCs w:val="36"/>
          <w:lang w:val="en-US" w:eastAsia="zh-TW"/>
        </w:rPr>
      </w:pPr>
      <w:r w:rsidRPr="004D4887">
        <w:rPr>
          <w:rFonts w:ascii="Arial" w:eastAsia="新細明體" w:hAnsi="Arial" w:cs="Arial"/>
          <w:sz w:val="36"/>
          <w:szCs w:val="36"/>
          <w:lang w:val="en-US" w:eastAsia="zh-TW"/>
        </w:rPr>
        <w:t>2.1</w:t>
      </w:r>
      <w:r w:rsidRPr="004D4887">
        <w:t xml:space="preserve"> </w:t>
      </w:r>
      <w:r w:rsidRPr="00115A76">
        <w:rPr>
          <w:rFonts w:ascii="Arial" w:eastAsia="新細明體" w:hAnsi="Arial" w:cs="Arial"/>
          <w:sz w:val="36"/>
          <w:szCs w:val="36"/>
          <w:lang w:val="en-US" w:eastAsia="zh-TW"/>
        </w:rPr>
        <w:t>Reclassification of RB regions for MPR specifications and/or update of existing MPR tables used for pi/2 BPSK signals</w:t>
      </w:r>
    </w:p>
    <w:p w14:paraId="2AC03A67" w14:textId="7E2B0B9E" w:rsidR="004D4887" w:rsidRDefault="000E57DB" w:rsidP="00635D80">
      <w:pPr>
        <w:rPr>
          <w:rFonts w:eastAsia="新細明體"/>
          <w:lang w:eastAsia="zh-TW"/>
        </w:rPr>
      </w:pPr>
      <w:r>
        <w:rPr>
          <w:rFonts w:eastAsia="新細明體" w:hint="eastAsia"/>
          <w:lang w:eastAsia="zh-TW"/>
        </w:rPr>
        <w:t>T</w:t>
      </w:r>
      <w:r>
        <w:rPr>
          <w:rFonts w:eastAsia="新細明體"/>
          <w:lang w:eastAsia="zh-TW"/>
        </w:rPr>
        <w:t>he issue was also discussed but not yet reach consensus in last meeting. Options were left for further discussion[1]:</w:t>
      </w:r>
    </w:p>
    <w:p w14:paraId="7ED15A35" w14:textId="77777777" w:rsidR="000E57DB" w:rsidRDefault="000E57DB" w:rsidP="000E57DB">
      <w:pPr>
        <w:pStyle w:val="affe"/>
        <w:numPr>
          <w:ilvl w:val="0"/>
          <w:numId w:val="46"/>
        </w:numPr>
        <w:overflowPunct/>
        <w:autoSpaceDE/>
        <w:autoSpaceDN/>
        <w:adjustRightInd/>
        <w:spacing w:after="120" w:line="256" w:lineRule="auto"/>
        <w:contextualSpacing w:val="0"/>
        <w:textAlignment w:val="auto"/>
        <w:rPr>
          <w:rFonts w:eastAsia="SimSun"/>
          <w:lang w:eastAsia="zh-CN"/>
        </w:rPr>
      </w:pPr>
      <w:r w:rsidRPr="00BF43BB">
        <w:rPr>
          <w:rFonts w:eastAsia="SimSun"/>
          <w:lang w:eastAsia="zh-CN"/>
        </w:rPr>
        <w:t xml:space="preserve">Option 1: </w:t>
      </w:r>
      <w:r w:rsidRPr="000D0FBC">
        <w:rPr>
          <w:rFonts w:eastAsia="SimSun"/>
          <w:lang w:eastAsia="zh-CN"/>
        </w:rPr>
        <w:t>Use conditions provided in Table 3 and the coefficients in Table 4 for new RB region classification.</w:t>
      </w:r>
      <w:r>
        <w:rPr>
          <w:rFonts w:eastAsia="SimSun"/>
          <w:lang w:eastAsia="zh-CN"/>
        </w:rPr>
        <w:t xml:space="preserve"> (R4-2200443)</w:t>
      </w:r>
    </w:p>
    <w:p w14:paraId="407E9D63" w14:textId="77777777" w:rsidR="000E57DB" w:rsidRPr="00DB2759" w:rsidRDefault="000E57DB" w:rsidP="000E57DB">
      <w:pPr>
        <w:pStyle w:val="affe"/>
        <w:numPr>
          <w:ilvl w:val="0"/>
          <w:numId w:val="46"/>
        </w:numPr>
        <w:overflowPunct/>
        <w:autoSpaceDE/>
        <w:autoSpaceDN/>
        <w:adjustRightInd/>
        <w:spacing w:after="120" w:line="256" w:lineRule="auto"/>
        <w:contextualSpacing w:val="0"/>
        <w:textAlignment w:val="auto"/>
        <w:rPr>
          <w:rFonts w:eastAsia="SimSun"/>
          <w:lang w:eastAsia="zh-CN"/>
        </w:rPr>
      </w:pPr>
      <w:r w:rsidRPr="00DB2759">
        <w:t>Option 2: Update MPR tables (at least Table 6.2.2-2) in TS 38.101-1 (R4-2200729)</w:t>
      </w:r>
    </w:p>
    <w:p w14:paraId="5468BBCD" w14:textId="77777777" w:rsidR="000E57DB" w:rsidRPr="00F32DB7" w:rsidRDefault="000E57DB" w:rsidP="000E57DB">
      <w:pPr>
        <w:pStyle w:val="affe"/>
        <w:numPr>
          <w:ilvl w:val="0"/>
          <w:numId w:val="46"/>
        </w:numPr>
        <w:overflowPunct/>
        <w:autoSpaceDE/>
        <w:autoSpaceDN/>
        <w:adjustRightInd/>
        <w:spacing w:after="120" w:line="256" w:lineRule="auto"/>
        <w:contextualSpacing w:val="0"/>
        <w:textAlignment w:val="auto"/>
        <w:rPr>
          <w:rFonts w:eastAsia="SimSun"/>
          <w:lang w:eastAsia="zh-CN"/>
        </w:rPr>
      </w:pPr>
      <w:r>
        <w:t xml:space="preserve">Option 3: </w:t>
      </w:r>
      <w:r w:rsidRPr="00F32DB7">
        <w:t>For optimizing the power boost, the existing inner region may be reduced or divided into two or more partitions when modifying the PC2 MPR table, and different levels of power boost may be applied.</w:t>
      </w:r>
      <w:r>
        <w:t xml:space="preserve"> (R4-2201837)</w:t>
      </w:r>
    </w:p>
    <w:p w14:paraId="50F98356" w14:textId="77777777" w:rsidR="000E57DB" w:rsidRPr="006E4BE0" w:rsidRDefault="000E57DB" w:rsidP="000E57DB">
      <w:pPr>
        <w:pStyle w:val="affe"/>
        <w:numPr>
          <w:ilvl w:val="0"/>
          <w:numId w:val="46"/>
        </w:numPr>
        <w:overflowPunct/>
        <w:autoSpaceDE/>
        <w:autoSpaceDN/>
        <w:adjustRightInd/>
        <w:textAlignment w:val="auto"/>
        <w:rPr>
          <w:color w:val="000000" w:themeColor="text1"/>
          <w:lang w:eastAsia="zh-CN"/>
        </w:rPr>
      </w:pPr>
      <w:r>
        <w:t xml:space="preserve">Option 4: </w:t>
      </w:r>
      <w:r w:rsidRPr="00F32DB7">
        <w:t xml:space="preserve">Adopt the following new-inner, new-outer and edge allocation classification illustrated in </w:t>
      </w:r>
      <w:r w:rsidRPr="00F32DB7">
        <w:fldChar w:fldCharType="begin"/>
      </w:r>
      <w:r w:rsidRPr="00F32DB7">
        <w:instrText xml:space="preserve"> REF _Ref92282704 \h  \* MERGEFORMAT </w:instrText>
      </w:r>
      <w:r w:rsidRPr="00F32DB7">
        <w:fldChar w:fldCharType="separate"/>
      </w:r>
      <w:r w:rsidRPr="00F32DB7">
        <w:t>Figure 6</w:t>
      </w:r>
      <w:r w:rsidRPr="00F32DB7">
        <w:fldChar w:fldCharType="end"/>
      </w:r>
      <w:r w:rsidRPr="00F32DB7">
        <w:t xml:space="preserve"> for shaped Pi/2 BPSK PC2 and adopt maximum power reduction specifications with following text proposal. FFS exact boosting levels for “new-outer” and “new-inner” allocations.</w:t>
      </w:r>
      <w:r>
        <w:t xml:space="preserve"> (R4-2202029)</w:t>
      </w:r>
    </w:p>
    <w:p w14:paraId="59AD3DD2" w14:textId="20B768E0" w:rsidR="000E57DB" w:rsidRDefault="00FF2CC8" w:rsidP="00635D80">
      <w:pPr>
        <w:rPr>
          <w:rFonts w:eastAsia="新細明體"/>
          <w:lang w:eastAsia="zh-TW"/>
        </w:rPr>
      </w:pPr>
      <w:r>
        <w:rPr>
          <w:rFonts w:eastAsia="新細明體" w:hint="eastAsia"/>
          <w:lang w:eastAsia="zh-TW"/>
        </w:rPr>
        <w:t>I</w:t>
      </w:r>
      <w:r>
        <w:rPr>
          <w:rFonts w:eastAsia="新細明體"/>
          <w:lang w:eastAsia="zh-TW"/>
        </w:rPr>
        <w:t>n our view, existing RB region classification for PC2/PC3 has been implemented for year</w:t>
      </w:r>
      <w:r w:rsidR="00B744C4">
        <w:rPr>
          <w:rFonts w:eastAsia="新細明體"/>
          <w:lang w:eastAsia="zh-TW"/>
        </w:rPr>
        <w:t>s</w:t>
      </w:r>
      <w:r>
        <w:rPr>
          <w:rFonts w:eastAsia="新細明體"/>
          <w:lang w:eastAsia="zh-TW"/>
        </w:rPr>
        <w:t>. Consider UE implementation complexity</w:t>
      </w:r>
      <w:r w:rsidR="00B744C4">
        <w:rPr>
          <w:rFonts w:eastAsia="新細明體"/>
          <w:lang w:eastAsia="zh-TW"/>
        </w:rPr>
        <w:t xml:space="preserve"> and backward compatibility</w:t>
      </w:r>
      <w:r>
        <w:rPr>
          <w:rFonts w:eastAsia="新細明體"/>
          <w:lang w:eastAsia="zh-TW"/>
        </w:rPr>
        <w:t xml:space="preserve"> it is not a good idea to change the RB region classification at this moment.</w:t>
      </w:r>
    </w:p>
    <w:p w14:paraId="3F98DC0F" w14:textId="68BC3A96" w:rsidR="00FF2CC8" w:rsidRPr="00FF2CC8" w:rsidRDefault="00FF2CC8" w:rsidP="00635D80">
      <w:pPr>
        <w:rPr>
          <w:rFonts w:eastAsia="新細明體"/>
          <w:b/>
          <w:bCs/>
          <w:i/>
          <w:iCs/>
          <w:lang w:eastAsia="zh-TW"/>
        </w:rPr>
      </w:pPr>
      <w:r>
        <w:rPr>
          <w:rFonts w:eastAsia="新細明體" w:hint="eastAsia"/>
          <w:b/>
          <w:bCs/>
          <w:i/>
          <w:iCs/>
          <w:lang w:eastAsia="zh-TW"/>
        </w:rPr>
        <w:t>P</w:t>
      </w:r>
      <w:r>
        <w:rPr>
          <w:rFonts w:eastAsia="新細明體"/>
          <w:b/>
          <w:bCs/>
          <w:i/>
          <w:iCs/>
          <w:lang w:eastAsia="zh-TW"/>
        </w:rPr>
        <w:t xml:space="preserve">roposal 2: We support option 2: </w:t>
      </w:r>
      <w:r w:rsidRPr="00FF2CC8">
        <w:rPr>
          <w:rFonts w:eastAsia="新細明體"/>
          <w:b/>
          <w:bCs/>
          <w:i/>
          <w:iCs/>
          <w:lang w:eastAsia="zh-TW"/>
        </w:rPr>
        <w:t>Update MPR tables (at least Table 6.2.2-2) in TS 38.101-1</w:t>
      </w:r>
      <w:r>
        <w:rPr>
          <w:rFonts w:eastAsia="新細明體"/>
          <w:b/>
          <w:bCs/>
          <w:i/>
          <w:iCs/>
          <w:lang w:eastAsia="zh-TW"/>
        </w:rPr>
        <w:t>. Reclassification of RB regions for MPR shall be postponed to Rel-18</w:t>
      </w:r>
    </w:p>
    <w:p w14:paraId="654DFDCA" w14:textId="77777777" w:rsidR="00115A76" w:rsidRPr="005D67D2" w:rsidRDefault="00115A76" w:rsidP="00635D80">
      <w:pPr>
        <w:rPr>
          <w:rFonts w:eastAsia="新細明體"/>
          <w:lang w:eastAsia="zh-TW"/>
        </w:rPr>
      </w:pPr>
    </w:p>
    <w:p w14:paraId="50251379" w14:textId="77777777"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14:paraId="1926D070" w14:textId="77777777" w:rsidR="00FF2CC8" w:rsidRPr="00223154" w:rsidRDefault="00FF2CC8" w:rsidP="00FF2CC8">
      <w:pPr>
        <w:rPr>
          <w:rFonts w:eastAsia="新細明體"/>
          <w:b/>
          <w:bCs/>
          <w:i/>
          <w:iCs/>
          <w:lang w:eastAsia="zh-TW"/>
        </w:rPr>
      </w:pPr>
      <w:r>
        <w:rPr>
          <w:rFonts w:eastAsia="新細明體" w:hint="eastAsia"/>
          <w:b/>
          <w:bCs/>
          <w:i/>
          <w:iCs/>
          <w:lang w:eastAsia="zh-TW"/>
        </w:rPr>
        <w:t>P</w:t>
      </w:r>
      <w:r>
        <w:rPr>
          <w:rFonts w:eastAsia="新細明體"/>
          <w:b/>
          <w:bCs/>
          <w:i/>
          <w:iCs/>
          <w:lang w:eastAsia="zh-TW"/>
        </w:rPr>
        <w:t xml:space="preserve">roposal 1: Option 1 is proposed. </w:t>
      </w:r>
      <w:r w:rsidRPr="00223154">
        <w:rPr>
          <w:rFonts w:eastAsia="新細明體"/>
          <w:b/>
          <w:bCs/>
          <w:i/>
          <w:iCs/>
          <w:lang w:eastAsia="zh-TW"/>
        </w:rPr>
        <w:t>For 1Tx PC2 PAs, the power boost should be limited to within 1dB</w:t>
      </w:r>
    </w:p>
    <w:p w14:paraId="72AA4CB6" w14:textId="77777777" w:rsidR="00FF2CC8" w:rsidRPr="00FF2CC8" w:rsidRDefault="00FF2CC8" w:rsidP="00FF2CC8">
      <w:pPr>
        <w:pBdr>
          <w:bottom w:val="single" w:sz="6" w:space="1" w:color="auto"/>
        </w:pBdr>
        <w:rPr>
          <w:rFonts w:eastAsia="新細明體"/>
          <w:b/>
          <w:bCs/>
          <w:i/>
          <w:iCs/>
          <w:lang w:eastAsia="zh-TW"/>
        </w:rPr>
      </w:pPr>
      <w:r>
        <w:rPr>
          <w:rFonts w:eastAsia="新細明體" w:hint="eastAsia"/>
          <w:b/>
          <w:bCs/>
          <w:i/>
          <w:iCs/>
          <w:lang w:eastAsia="zh-TW"/>
        </w:rPr>
        <w:t>P</w:t>
      </w:r>
      <w:r>
        <w:rPr>
          <w:rFonts w:eastAsia="新細明體"/>
          <w:b/>
          <w:bCs/>
          <w:i/>
          <w:iCs/>
          <w:lang w:eastAsia="zh-TW"/>
        </w:rPr>
        <w:t xml:space="preserve">roposal 2: We support option 2: </w:t>
      </w:r>
      <w:r w:rsidRPr="00FF2CC8">
        <w:rPr>
          <w:rFonts w:eastAsia="新細明體"/>
          <w:b/>
          <w:bCs/>
          <w:i/>
          <w:iCs/>
          <w:lang w:eastAsia="zh-TW"/>
        </w:rPr>
        <w:t>Update MPR tables (at least Table 6.2.2-2) in TS 38.101-1</w:t>
      </w:r>
      <w:r>
        <w:rPr>
          <w:rFonts w:eastAsia="新細明體"/>
          <w:b/>
          <w:bCs/>
          <w:i/>
          <w:iCs/>
          <w:lang w:eastAsia="zh-TW"/>
        </w:rPr>
        <w:t>. Reclassification of RB regions for MPR shall be postponed to Rel-18</w:t>
      </w:r>
    </w:p>
    <w:p w14:paraId="297CE281" w14:textId="01171B3A"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14:paraId="27E6AEFD" w14:textId="671FA583" w:rsidR="00635D80" w:rsidRDefault="00635D80" w:rsidP="00526DFA">
      <w:pPr>
        <w:pStyle w:val="affe"/>
        <w:numPr>
          <w:ilvl w:val="0"/>
          <w:numId w:val="41"/>
        </w:numPr>
        <w:rPr>
          <w:rFonts w:eastAsia="新細明體"/>
          <w:lang w:eastAsia="zh-TW"/>
        </w:rPr>
      </w:pPr>
      <w:r w:rsidRPr="00635D80">
        <w:rPr>
          <w:rFonts w:eastAsia="新細明體"/>
          <w:lang w:eastAsia="zh-TW"/>
        </w:rPr>
        <w:t>R4-2202386 WF on optimizations of Pi/2 BPSK UL power in NR and agreements</w:t>
      </w:r>
      <w:r>
        <w:rPr>
          <w:rFonts w:eastAsia="新細明體"/>
          <w:lang w:eastAsia="zh-TW"/>
        </w:rPr>
        <w:t>, RAN4#101-bis-e</w:t>
      </w:r>
    </w:p>
    <w:p w14:paraId="441D77BE" w14:textId="36402D9B" w:rsidR="009F7F3F" w:rsidRDefault="009F7F3F" w:rsidP="00526DFA">
      <w:pPr>
        <w:pStyle w:val="affe"/>
        <w:numPr>
          <w:ilvl w:val="0"/>
          <w:numId w:val="41"/>
        </w:numPr>
        <w:rPr>
          <w:rFonts w:eastAsia="新細明體"/>
          <w:lang w:eastAsia="zh-TW"/>
        </w:rPr>
      </w:pPr>
      <w:r w:rsidRPr="009F7F3F">
        <w:rPr>
          <w:rFonts w:eastAsia="新細明體"/>
          <w:lang w:eastAsia="zh-TW"/>
        </w:rPr>
        <w:t>R4-2202029</w:t>
      </w:r>
      <w:r>
        <w:rPr>
          <w:rFonts w:eastAsia="新細明體"/>
          <w:lang w:eastAsia="zh-TW"/>
        </w:rPr>
        <w:t xml:space="preserve"> </w:t>
      </w:r>
      <w:r w:rsidRPr="009F7F3F">
        <w:rPr>
          <w:rFonts w:eastAsia="新細明體"/>
          <w:lang w:eastAsia="zh-TW"/>
        </w:rPr>
        <w:t>PC2 Pi/2 BPSK Power Boosting Measurements</w:t>
      </w:r>
      <w:r>
        <w:rPr>
          <w:rFonts w:eastAsia="新細明體"/>
          <w:lang w:eastAsia="zh-TW"/>
        </w:rPr>
        <w:t>, RAN4#101-bis-e</w:t>
      </w:r>
    </w:p>
    <w:p w14:paraId="2E228CB3" w14:textId="77777777" w:rsidR="003525E3" w:rsidRDefault="003525E3" w:rsidP="003525E3">
      <w:pPr>
        <w:rPr>
          <w:rFonts w:eastAsia="新細明體"/>
          <w:lang w:eastAsia="zh-TW"/>
        </w:rPr>
      </w:pPr>
    </w:p>
    <w:p w14:paraId="1F486435" w14:textId="77777777" w:rsidR="003525E3" w:rsidRPr="003525E3" w:rsidRDefault="003525E3" w:rsidP="003525E3">
      <w:pPr>
        <w:rPr>
          <w:rFonts w:eastAsia="新細明體"/>
          <w:lang w:eastAsia="zh-TW"/>
        </w:rPr>
      </w:pPr>
    </w:p>
    <w:sectPr w:rsidR="003525E3" w:rsidRPr="003525E3" w:rsidSect="00CB0E83">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82669" w14:textId="77777777" w:rsidR="001473AC" w:rsidRDefault="001473AC">
      <w:r>
        <w:separator/>
      </w:r>
    </w:p>
  </w:endnote>
  <w:endnote w:type="continuationSeparator" w:id="0">
    <w:p w14:paraId="3D1199BA" w14:textId="77777777" w:rsidR="001473AC" w:rsidRDefault="0014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BC42" w14:textId="77777777" w:rsidR="00AA5264" w:rsidRDefault="00AA526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ECD25" w14:textId="77777777" w:rsidR="001473AC" w:rsidRDefault="001473AC">
      <w:r>
        <w:separator/>
      </w:r>
    </w:p>
  </w:footnote>
  <w:footnote w:type="continuationSeparator" w:id="0">
    <w:p w14:paraId="7BB6A784" w14:textId="77777777" w:rsidR="001473AC" w:rsidRDefault="00147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526A8D"/>
    <w:multiLevelType w:val="hybridMultilevel"/>
    <w:tmpl w:val="D7D20E30"/>
    <w:lvl w:ilvl="0" w:tplc="C192B7EE">
      <w:start w:val="1"/>
      <w:numFmt w:val="bullet"/>
      <w:lvlText w:val="•"/>
      <w:lvlJc w:val="left"/>
      <w:pPr>
        <w:tabs>
          <w:tab w:val="num" w:pos="720"/>
        </w:tabs>
        <w:ind w:left="720" w:hanging="360"/>
      </w:pPr>
      <w:rPr>
        <w:rFonts w:ascii="Arial" w:hAnsi="Arial" w:hint="default"/>
      </w:rPr>
    </w:lvl>
    <w:lvl w:ilvl="1" w:tplc="A2FAD8B8">
      <w:start w:val="1"/>
      <w:numFmt w:val="bullet"/>
      <w:lvlText w:val="•"/>
      <w:lvlJc w:val="left"/>
      <w:pPr>
        <w:tabs>
          <w:tab w:val="num" w:pos="1440"/>
        </w:tabs>
        <w:ind w:left="1440" w:hanging="360"/>
      </w:pPr>
      <w:rPr>
        <w:rFonts w:ascii="Arial" w:hAnsi="Arial" w:hint="default"/>
      </w:rPr>
    </w:lvl>
    <w:lvl w:ilvl="2" w:tplc="B0240346">
      <w:numFmt w:val="bullet"/>
      <w:lvlText w:val="•"/>
      <w:lvlJc w:val="left"/>
      <w:pPr>
        <w:tabs>
          <w:tab w:val="num" w:pos="2160"/>
        </w:tabs>
        <w:ind w:left="2160" w:hanging="360"/>
      </w:pPr>
      <w:rPr>
        <w:rFonts w:ascii="Arial" w:hAnsi="Arial" w:hint="default"/>
      </w:rPr>
    </w:lvl>
    <w:lvl w:ilvl="3" w:tplc="F64454F2" w:tentative="1">
      <w:start w:val="1"/>
      <w:numFmt w:val="bullet"/>
      <w:lvlText w:val="•"/>
      <w:lvlJc w:val="left"/>
      <w:pPr>
        <w:tabs>
          <w:tab w:val="num" w:pos="2880"/>
        </w:tabs>
        <w:ind w:left="2880" w:hanging="360"/>
      </w:pPr>
      <w:rPr>
        <w:rFonts w:ascii="Arial" w:hAnsi="Arial" w:hint="default"/>
      </w:rPr>
    </w:lvl>
    <w:lvl w:ilvl="4" w:tplc="5434D9D0" w:tentative="1">
      <w:start w:val="1"/>
      <w:numFmt w:val="bullet"/>
      <w:lvlText w:val="•"/>
      <w:lvlJc w:val="left"/>
      <w:pPr>
        <w:tabs>
          <w:tab w:val="num" w:pos="3600"/>
        </w:tabs>
        <w:ind w:left="3600" w:hanging="360"/>
      </w:pPr>
      <w:rPr>
        <w:rFonts w:ascii="Arial" w:hAnsi="Arial" w:hint="default"/>
      </w:rPr>
    </w:lvl>
    <w:lvl w:ilvl="5" w:tplc="BEC89812" w:tentative="1">
      <w:start w:val="1"/>
      <w:numFmt w:val="bullet"/>
      <w:lvlText w:val="•"/>
      <w:lvlJc w:val="left"/>
      <w:pPr>
        <w:tabs>
          <w:tab w:val="num" w:pos="4320"/>
        </w:tabs>
        <w:ind w:left="4320" w:hanging="360"/>
      </w:pPr>
      <w:rPr>
        <w:rFonts w:ascii="Arial" w:hAnsi="Arial" w:hint="default"/>
      </w:rPr>
    </w:lvl>
    <w:lvl w:ilvl="6" w:tplc="892CD8CE" w:tentative="1">
      <w:start w:val="1"/>
      <w:numFmt w:val="bullet"/>
      <w:lvlText w:val="•"/>
      <w:lvlJc w:val="left"/>
      <w:pPr>
        <w:tabs>
          <w:tab w:val="num" w:pos="5040"/>
        </w:tabs>
        <w:ind w:left="5040" w:hanging="360"/>
      </w:pPr>
      <w:rPr>
        <w:rFonts w:ascii="Arial" w:hAnsi="Arial" w:hint="default"/>
      </w:rPr>
    </w:lvl>
    <w:lvl w:ilvl="7" w:tplc="F4A88D2E" w:tentative="1">
      <w:start w:val="1"/>
      <w:numFmt w:val="bullet"/>
      <w:lvlText w:val="•"/>
      <w:lvlJc w:val="left"/>
      <w:pPr>
        <w:tabs>
          <w:tab w:val="num" w:pos="5760"/>
        </w:tabs>
        <w:ind w:left="5760" w:hanging="360"/>
      </w:pPr>
      <w:rPr>
        <w:rFonts w:ascii="Arial" w:hAnsi="Arial" w:hint="default"/>
      </w:rPr>
    </w:lvl>
    <w:lvl w:ilvl="8" w:tplc="ACB05D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F8B0B26"/>
    <w:multiLevelType w:val="hybridMultilevel"/>
    <w:tmpl w:val="6AC8D5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5E5E78"/>
    <w:multiLevelType w:val="hybridMultilevel"/>
    <w:tmpl w:val="EE3629B6"/>
    <w:lvl w:ilvl="0" w:tplc="82FA488C">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C2274"/>
    <w:multiLevelType w:val="hybridMultilevel"/>
    <w:tmpl w:val="0F7A0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15:restartNumberingAfterBreak="0">
    <w:nsid w:val="5CA145AF"/>
    <w:multiLevelType w:val="hybridMultilevel"/>
    <w:tmpl w:val="2D8E1B64"/>
    <w:lvl w:ilvl="0" w:tplc="2744E6DE">
      <w:start w:val="1"/>
      <w:numFmt w:val="bullet"/>
      <w:lvlText w:val="•"/>
      <w:lvlJc w:val="left"/>
      <w:pPr>
        <w:tabs>
          <w:tab w:val="num" w:pos="720"/>
        </w:tabs>
        <w:ind w:left="720" w:hanging="360"/>
      </w:pPr>
      <w:rPr>
        <w:rFonts w:ascii="Arial" w:hAnsi="Arial" w:hint="default"/>
      </w:rPr>
    </w:lvl>
    <w:lvl w:ilvl="1" w:tplc="5B8688DE">
      <w:start w:val="1"/>
      <w:numFmt w:val="bullet"/>
      <w:lvlText w:val="•"/>
      <w:lvlJc w:val="left"/>
      <w:pPr>
        <w:tabs>
          <w:tab w:val="num" w:pos="1440"/>
        </w:tabs>
        <w:ind w:left="1440" w:hanging="360"/>
      </w:pPr>
      <w:rPr>
        <w:rFonts w:ascii="Arial" w:hAnsi="Arial" w:hint="default"/>
      </w:rPr>
    </w:lvl>
    <w:lvl w:ilvl="2" w:tplc="1CF67770">
      <w:start w:val="1"/>
      <w:numFmt w:val="decimal"/>
      <w:lvlText w:val="%3."/>
      <w:lvlJc w:val="left"/>
      <w:pPr>
        <w:tabs>
          <w:tab w:val="num" w:pos="2160"/>
        </w:tabs>
        <w:ind w:left="2160" w:hanging="360"/>
      </w:pPr>
    </w:lvl>
    <w:lvl w:ilvl="3" w:tplc="66DEEDE0" w:tentative="1">
      <w:start w:val="1"/>
      <w:numFmt w:val="bullet"/>
      <w:lvlText w:val="•"/>
      <w:lvlJc w:val="left"/>
      <w:pPr>
        <w:tabs>
          <w:tab w:val="num" w:pos="2880"/>
        </w:tabs>
        <w:ind w:left="2880" w:hanging="360"/>
      </w:pPr>
      <w:rPr>
        <w:rFonts w:ascii="Arial" w:hAnsi="Arial" w:hint="default"/>
      </w:rPr>
    </w:lvl>
    <w:lvl w:ilvl="4" w:tplc="646CFB66" w:tentative="1">
      <w:start w:val="1"/>
      <w:numFmt w:val="bullet"/>
      <w:lvlText w:val="•"/>
      <w:lvlJc w:val="left"/>
      <w:pPr>
        <w:tabs>
          <w:tab w:val="num" w:pos="3600"/>
        </w:tabs>
        <w:ind w:left="3600" w:hanging="360"/>
      </w:pPr>
      <w:rPr>
        <w:rFonts w:ascii="Arial" w:hAnsi="Arial" w:hint="default"/>
      </w:rPr>
    </w:lvl>
    <w:lvl w:ilvl="5" w:tplc="41408068" w:tentative="1">
      <w:start w:val="1"/>
      <w:numFmt w:val="bullet"/>
      <w:lvlText w:val="•"/>
      <w:lvlJc w:val="left"/>
      <w:pPr>
        <w:tabs>
          <w:tab w:val="num" w:pos="4320"/>
        </w:tabs>
        <w:ind w:left="4320" w:hanging="360"/>
      </w:pPr>
      <w:rPr>
        <w:rFonts w:ascii="Arial" w:hAnsi="Arial" w:hint="default"/>
      </w:rPr>
    </w:lvl>
    <w:lvl w:ilvl="6" w:tplc="81C4DEEC" w:tentative="1">
      <w:start w:val="1"/>
      <w:numFmt w:val="bullet"/>
      <w:lvlText w:val="•"/>
      <w:lvlJc w:val="left"/>
      <w:pPr>
        <w:tabs>
          <w:tab w:val="num" w:pos="5040"/>
        </w:tabs>
        <w:ind w:left="5040" w:hanging="360"/>
      </w:pPr>
      <w:rPr>
        <w:rFonts w:ascii="Arial" w:hAnsi="Arial" w:hint="default"/>
      </w:rPr>
    </w:lvl>
    <w:lvl w:ilvl="7" w:tplc="8E94689C" w:tentative="1">
      <w:start w:val="1"/>
      <w:numFmt w:val="bullet"/>
      <w:lvlText w:val="•"/>
      <w:lvlJc w:val="left"/>
      <w:pPr>
        <w:tabs>
          <w:tab w:val="num" w:pos="5760"/>
        </w:tabs>
        <w:ind w:left="5760" w:hanging="360"/>
      </w:pPr>
      <w:rPr>
        <w:rFonts w:ascii="Arial" w:hAnsi="Arial" w:hint="default"/>
      </w:rPr>
    </w:lvl>
    <w:lvl w:ilvl="8" w:tplc="B51A5D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2"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7"/>
  </w:num>
  <w:num w:numId="3">
    <w:abstractNumId w:val="20"/>
  </w:num>
  <w:num w:numId="4">
    <w:abstractNumId w:val="30"/>
  </w:num>
  <w:num w:numId="5">
    <w:abstractNumId w:val="2"/>
  </w:num>
  <w:num w:numId="6">
    <w:abstractNumId w:val="29"/>
  </w:num>
  <w:num w:numId="7">
    <w:abstractNumId w:val="15"/>
  </w:num>
  <w:num w:numId="8">
    <w:abstractNumId w:val="22"/>
  </w:num>
  <w:num w:numId="9">
    <w:abstractNumId w:val="33"/>
  </w:num>
  <w:num w:numId="10">
    <w:abstractNumId w:val="12"/>
  </w:num>
  <w:num w:numId="11">
    <w:abstractNumId w:val="10"/>
  </w:num>
  <w:num w:numId="12">
    <w:abstractNumId w:val="8"/>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6"/>
  </w:num>
  <w:num w:numId="15">
    <w:abstractNumId w:val="24"/>
  </w:num>
  <w:num w:numId="16">
    <w:abstractNumId w:val="0"/>
  </w:num>
  <w:num w:numId="17">
    <w:abstractNumId w:val="19"/>
  </w:num>
  <w:num w:numId="18">
    <w:abstractNumId w:val="16"/>
  </w:num>
  <w:num w:numId="19">
    <w:abstractNumId w:val="9"/>
  </w:num>
  <w:num w:numId="20">
    <w:abstractNumId w:val="24"/>
  </w:num>
  <w:num w:numId="21">
    <w:abstractNumId w:val="18"/>
  </w:num>
  <w:num w:numId="22">
    <w:abstractNumId w:val="11"/>
  </w:num>
  <w:num w:numId="23">
    <w:abstractNumId w:val="32"/>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5"/>
  </w:num>
  <w:num w:numId="35">
    <w:abstractNumId w:val="28"/>
  </w:num>
  <w:num w:numId="36">
    <w:abstractNumId w:val="27"/>
  </w:num>
  <w:num w:numId="37">
    <w:abstractNumId w:val="13"/>
  </w:num>
  <w:num w:numId="38">
    <w:abstractNumId w:val="14"/>
  </w:num>
  <w:num w:numId="39">
    <w:abstractNumId w:val="6"/>
  </w:num>
  <w:num w:numId="40">
    <w:abstractNumId w:val="31"/>
  </w:num>
  <w:num w:numId="41">
    <w:abstractNumId w:val="4"/>
  </w:num>
  <w:num w:numId="42">
    <w:abstractNumId w:val="25"/>
  </w:num>
  <w:num w:numId="43">
    <w:abstractNumId w:val="3"/>
  </w:num>
  <w:num w:numId="44">
    <w:abstractNumId w:val="21"/>
  </w:num>
  <w:num w:numId="45">
    <w:abstractNumId w:val="7"/>
  </w:num>
  <w:num w:numId="4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2F6E"/>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180"/>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57DB"/>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40B"/>
    <w:rsid w:val="001145CD"/>
    <w:rsid w:val="00114764"/>
    <w:rsid w:val="00115A76"/>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473AC"/>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55E"/>
    <w:rsid w:val="001A183C"/>
    <w:rsid w:val="001A1FB1"/>
    <w:rsid w:val="001A2071"/>
    <w:rsid w:val="001A2EA7"/>
    <w:rsid w:val="001A369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14D"/>
    <w:rsid w:val="00217F0A"/>
    <w:rsid w:val="00217F22"/>
    <w:rsid w:val="00220500"/>
    <w:rsid w:val="002205AB"/>
    <w:rsid w:val="002205FB"/>
    <w:rsid w:val="002209D7"/>
    <w:rsid w:val="00220BF6"/>
    <w:rsid w:val="00221594"/>
    <w:rsid w:val="002219F0"/>
    <w:rsid w:val="00221BE8"/>
    <w:rsid w:val="00222383"/>
    <w:rsid w:val="002229A3"/>
    <w:rsid w:val="00222AC9"/>
    <w:rsid w:val="00222AD6"/>
    <w:rsid w:val="00222DA0"/>
    <w:rsid w:val="00223154"/>
    <w:rsid w:val="0022348D"/>
    <w:rsid w:val="00223B92"/>
    <w:rsid w:val="00223E02"/>
    <w:rsid w:val="0022403E"/>
    <w:rsid w:val="0022434E"/>
    <w:rsid w:val="002245D6"/>
    <w:rsid w:val="002246B0"/>
    <w:rsid w:val="00224853"/>
    <w:rsid w:val="0022506C"/>
    <w:rsid w:val="002250E8"/>
    <w:rsid w:val="0022571C"/>
    <w:rsid w:val="00225CA5"/>
    <w:rsid w:val="00225E3F"/>
    <w:rsid w:val="00226407"/>
    <w:rsid w:val="00226E14"/>
    <w:rsid w:val="002270DF"/>
    <w:rsid w:val="00227291"/>
    <w:rsid w:val="002275D2"/>
    <w:rsid w:val="00230493"/>
    <w:rsid w:val="002313E0"/>
    <w:rsid w:val="00231D60"/>
    <w:rsid w:val="00231F10"/>
    <w:rsid w:val="002321D9"/>
    <w:rsid w:val="00232745"/>
    <w:rsid w:val="0023276E"/>
    <w:rsid w:val="00232806"/>
    <w:rsid w:val="0023315F"/>
    <w:rsid w:val="002333B3"/>
    <w:rsid w:val="00233A01"/>
    <w:rsid w:val="002357ED"/>
    <w:rsid w:val="00235EE6"/>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9AE"/>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D83"/>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423"/>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3D"/>
    <w:rsid w:val="002E0753"/>
    <w:rsid w:val="002E092D"/>
    <w:rsid w:val="002E0DF6"/>
    <w:rsid w:val="002E1055"/>
    <w:rsid w:val="002E17D8"/>
    <w:rsid w:val="002E1C9B"/>
    <w:rsid w:val="002E3C54"/>
    <w:rsid w:val="002E43C2"/>
    <w:rsid w:val="002E4797"/>
    <w:rsid w:val="002E49E9"/>
    <w:rsid w:val="002E57D5"/>
    <w:rsid w:val="002E693E"/>
    <w:rsid w:val="002E719D"/>
    <w:rsid w:val="002E766C"/>
    <w:rsid w:val="002E7D9C"/>
    <w:rsid w:val="002E7F95"/>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1687"/>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8DA"/>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5E3"/>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632"/>
    <w:rsid w:val="003579B0"/>
    <w:rsid w:val="00360772"/>
    <w:rsid w:val="0036082C"/>
    <w:rsid w:val="00360CF3"/>
    <w:rsid w:val="003610D3"/>
    <w:rsid w:val="00361421"/>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90C"/>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BD1"/>
    <w:rsid w:val="003B2F85"/>
    <w:rsid w:val="003B2FD4"/>
    <w:rsid w:val="003B33CB"/>
    <w:rsid w:val="003B33D3"/>
    <w:rsid w:val="003B3D76"/>
    <w:rsid w:val="003B3ED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463"/>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B98"/>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5EA"/>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7AA"/>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73"/>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2CF3"/>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887"/>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2FB"/>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26DFA"/>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0B61"/>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2905"/>
    <w:rsid w:val="005830F2"/>
    <w:rsid w:val="0058321C"/>
    <w:rsid w:val="005833FB"/>
    <w:rsid w:val="005836AF"/>
    <w:rsid w:val="005839FC"/>
    <w:rsid w:val="00583D29"/>
    <w:rsid w:val="005842AB"/>
    <w:rsid w:val="0058454D"/>
    <w:rsid w:val="00584CDE"/>
    <w:rsid w:val="0058532E"/>
    <w:rsid w:val="00585DB9"/>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0CE"/>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6CE"/>
    <w:rsid w:val="005D67D2"/>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6DA"/>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2BF6"/>
    <w:rsid w:val="005F3861"/>
    <w:rsid w:val="005F3D66"/>
    <w:rsid w:val="005F41C2"/>
    <w:rsid w:val="005F4313"/>
    <w:rsid w:val="005F46A8"/>
    <w:rsid w:val="005F475B"/>
    <w:rsid w:val="005F5A62"/>
    <w:rsid w:val="005F5E03"/>
    <w:rsid w:val="005F6494"/>
    <w:rsid w:val="005F6ACB"/>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599A"/>
    <w:rsid w:val="00635D80"/>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6D9"/>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3624"/>
    <w:rsid w:val="00664180"/>
    <w:rsid w:val="00664234"/>
    <w:rsid w:val="00664591"/>
    <w:rsid w:val="00664901"/>
    <w:rsid w:val="00664DF5"/>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97F58"/>
    <w:rsid w:val="006A0138"/>
    <w:rsid w:val="006A0455"/>
    <w:rsid w:val="006A0CB5"/>
    <w:rsid w:val="006A15DE"/>
    <w:rsid w:val="006A1830"/>
    <w:rsid w:val="006A18F3"/>
    <w:rsid w:val="006A3056"/>
    <w:rsid w:val="006A344F"/>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08"/>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E79"/>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AD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7EB"/>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7CB"/>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9ED"/>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AA"/>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770"/>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12"/>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315"/>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A9"/>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BDE"/>
    <w:rsid w:val="00832ED2"/>
    <w:rsid w:val="008336CC"/>
    <w:rsid w:val="00833EEA"/>
    <w:rsid w:val="00834286"/>
    <w:rsid w:val="0083482A"/>
    <w:rsid w:val="00835352"/>
    <w:rsid w:val="008360A7"/>
    <w:rsid w:val="008367F0"/>
    <w:rsid w:val="00836B18"/>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77"/>
    <w:rsid w:val="00857ABD"/>
    <w:rsid w:val="00857E67"/>
    <w:rsid w:val="00861BB3"/>
    <w:rsid w:val="0086252F"/>
    <w:rsid w:val="00862B09"/>
    <w:rsid w:val="00863247"/>
    <w:rsid w:val="00863423"/>
    <w:rsid w:val="00863426"/>
    <w:rsid w:val="00864689"/>
    <w:rsid w:val="00864C00"/>
    <w:rsid w:val="008652D7"/>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58A"/>
    <w:rsid w:val="0091369A"/>
    <w:rsid w:val="00913BBB"/>
    <w:rsid w:val="00913BC7"/>
    <w:rsid w:val="009145CC"/>
    <w:rsid w:val="00914D23"/>
    <w:rsid w:val="00915129"/>
    <w:rsid w:val="0091598F"/>
    <w:rsid w:val="00915D60"/>
    <w:rsid w:val="00915F00"/>
    <w:rsid w:val="00915F49"/>
    <w:rsid w:val="00916ED9"/>
    <w:rsid w:val="0091764F"/>
    <w:rsid w:val="00920014"/>
    <w:rsid w:val="009211B8"/>
    <w:rsid w:val="0092144F"/>
    <w:rsid w:val="0092151D"/>
    <w:rsid w:val="00921DE6"/>
    <w:rsid w:val="00922692"/>
    <w:rsid w:val="0092342A"/>
    <w:rsid w:val="00923AB9"/>
    <w:rsid w:val="00923D36"/>
    <w:rsid w:val="00923D7B"/>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2F5D"/>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2B16"/>
    <w:rsid w:val="009435E6"/>
    <w:rsid w:val="0094363D"/>
    <w:rsid w:val="00944791"/>
    <w:rsid w:val="009452C3"/>
    <w:rsid w:val="009454E7"/>
    <w:rsid w:val="0094621E"/>
    <w:rsid w:val="009470FF"/>
    <w:rsid w:val="00947F06"/>
    <w:rsid w:val="00950452"/>
    <w:rsid w:val="00950D30"/>
    <w:rsid w:val="00951DE2"/>
    <w:rsid w:val="0095234C"/>
    <w:rsid w:val="0095253C"/>
    <w:rsid w:val="00952C8E"/>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A5A"/>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DA9"/>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9F7F3F"/>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3C7F"/>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ECD"/>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37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323"/>
    <w:rsid w:val="00A86C4D"/>
    <w:rsid w:val="00A874C5"/>
    <w:rsid w:val="00A90569"/>
    <w:rsid w:val="00A90986"/>
    <w:rsid w:val="00A9099E"/>
    <w:rsid w:val="00A90EAF"/>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3F72"/>
    <w:rsid w:val="00AD55D1"/>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6F"/>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0CC"/>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059"/>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4C4"/>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4760"/>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38"/>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0E9"/>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27C"/>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39C"/>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37"/>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F9A"/>
    <w:rsid w:val="00CE3F1A"/>
    <w:rsid w:val="00CE4219"/>
    <w:rsid w:val="00CE449C"/>
    <w:rsid w:val="00CE52A0"/>
    <w:rsid w:val="00CE55B3"/>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D00"/>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8DA"/>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E7BD3"/>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0A05"/>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568D"/>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19E"/>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08F5"/>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2EB"/>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46AF"/>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42B"/>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40E"/>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24B8"/>
    <w:rsid w:val="00FF2CC8"/>
    <w:rsid w:val="00FF347C"/>
    <w:rsid w:val="00FF3C5F"/>
    <w:rsid w:val="00FF3D19"/>
    <w:rsid w:val="00FF50DD"/>
    <w:rsid w:val="00FF59DB"/>
    <w:rsid w:val="00FF5B4A"/>
    <w:rsid w:val="00FF5F5B"/>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DD84B"/>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1"/>
    <w:link w:val="afff"/>
    <w:uiPriority w:val="34"/>
    <w:qFormat/>
    <w:rsid w:val="00B06F39"/>
    <w:pPr>
      <w:ind w:left="720"/>
      <w:contextualSpacing/>
    </w:pPr>
  </w:style>
  <w:style w:type="paragraph" w:customStyle="1" w:styleId="Default">
    <w:name w:val="Default"/>
    <w:rsid w:val="00A7037C"/>
    <w:pPr>
      <w:widowControl w:val="0"/>
      <w:autoSpaceDE w:val="0"/>
      <w:autoSpaceDN w:val="0"/>
      <w:adjustRightInd w:val="0"/>
    </w:pPr>
    <w:rPr>
      <w:color w:val="000000"/>
      <w:sz w:val="24"/>
      <w:szCs w:val="24"/>
    </w:rPr>
  </w:style>
  <w:style w:type="character" w:customStyle="1" w:styleId="afff">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fe"/>
    <w:uiPriority w:val="34"/>
    <w:qFormat/>
    <w:locked/>
    <w:rsid w:val="001A155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38575540">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2778</TotalTime>
  <Pages>2</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14</cp:revision>
  <cp:lastPrinted>2010-01-07T02:23:00Z</cp:lastPrinted>
  <dcterms:created xsi:type="dcterms:W3CDTF">2022-02-11T07:16:00Z</dcterms:created>
  <dcterms:modified xsi:type="dcterms:W3CDTF">2022-02-14T07:23:00Z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